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EED" w14:textId="69FF85F3" w:rsidR="00976636" w:rsidRPr="00D3229A" w:rsidRDefault="00D3229A" w:rsidP="00D3229A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D3229A">
        <w:rPr>
          <w:b/>
          <w:bCs/>
          <w:iCs/>
          <w:color w:val="auto"/>
          <w:sz w:val="32"/>
          <w:szCs w:val="32"/>
          <w:lang w:eastAsia="en-US"/>
        </w:rPr>
        <w:t>Заработала система прослеживаемости импорта</w:t>
      </w:r>
      <w:r w:rsidRPr="00D3229A">
        <w:rPr>
          <w:b/>
          <w:bCs/>
          <w:iCs/>
          <w:color w:val="auto"/>
          <w:sz w:val="32"/>
          <w:szCs w:val="32"/>
          <w:lang w:eastAsia="en-US"/>
        </w:rPr>
        <w:br/>
      </w:r>
    </w:p>
    <w:p w14:paraId="7B6F24DD" w14:textId="6D920105" w:rsidR="00976636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8 июля опубликовали положение о системе прослеживаемых товаров и их перечень. Когда и как уведомить ФНС об остатках прослеживаемых товаров, где взять номер партии таких товаров, как оформить счет-фактуру — об этих и других нюансах расскажем в обзоре.</w:t>
      </w:r>
      <w:r w:rsidRPr="00D3229A">
        <w:rPr>
          <w:sz w:val="24"/>
          <w:szCs w:val="24"/>
          <w:lang w:eastAsia="en-US"/>
        </w:rPr>
        <w:br/>
      </w:r>
    </w:p>
    <w:p w14:paraId="430BB0F3" w14:textId="6DC7CCF2" w:rsidR="00D3229A" w:rsidRDefault="00D3229A" w:rsidP="00D3229A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r w:rsidRPr="00D3229A">
        <w:rPr>
          <w:color w:val="4F81BD" w:themeColor="accent1"/>
          <w:sz w:val="28"/>
          <w:szCs w:val="28"/>
          <w:lang w:eastAsia="en-US"/>
        </w:rPr>
        <w:t>Какие товары отслеживают</w:t>
      </w:r>
    </w:p>
    <w:p w14:paraId="250E5720" w14:textId="77777777" w:rsidR="00D3229A" w:rsidRPr="00D3229A" w:rsidRDefault="00D3229A" w:rsidP="00D3229A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32902F52" w14:textId="3231402A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Система прослеживаемости касается только импортных товаров, которые обращаются в России. У каждой партии товара должен быть регистрационный номер (РНПТ), по которому можно увидеть его историю. Номер включают в различные документы: счета-фактуры, декларации и т.п.</w:t>
      </w:r>
    </w:p>
    <w:p w14:paraId="2677676C" w14:textId="77777777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60743CD8" w14:textId="55190373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Товары отечественного производства </w:t>
      </w:r>
      <w:hyperlink r:id="rId5" w:history="1">
        <w:r w:rsidRPr="00D3229A">
          <w:rPr>
            <w:sz w:val="24"/>
            <w:szCs w:val="24"/>
            <w:lang w:eastAsia="en-US"/>
          </w:rPr>
          <w:t>не включ</w:t>
        </w:r>
        <w:r w:rsidRPr="00D3229A">
          <w:rPr>
            <w:sz w:val="24"/>
            <w:szCs w:val="24"/>
            <w:lang w:eastAsia="en-US"/>
          </w:rPr>
          <w:t>а</w:t>
        </w:r>
        <w:r w:rsidRPr="00D3229A">
          <w:rPr>
            <w:sz w:val="24"/>
            <w:szCs w:val="24"/>
            <w:lang w:eastAsia="en-US"/>
          </w:rPr>
          <w:t>ются</w:t>
        </w:r>
      </w:hyperlink>
      <w:r w:rsidRPr="00D3229A">
        <w:rPr>
          <w:sz w:val="24"/>
          <w:szCs w:val="24"/>
          <w:lang w:eastAsia="en-US"/>
        </w:rPr>
        <w:t> в систему прослеживаемости.</w:t>
      </w:r>
    </w:p>
    <w:p w14:paraId="3BA63C34" w14:textId="77777777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664F256D" w14:textId="3E9AD638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В </w:t>
      </w:r>
      <w:hyperlink r:id="rId6" w:history="1">
        <w:r w:rsidRPr="00D3229A">
          <w:rPr>
            <w:sz w:val="24"/>
            <w:szCs w:val="24"/>
            <w:lang w:eastAsia="en-US"/>
          </w:rPr>
          <w:t>перечень</w:t>
        </w:r>
      </w:hyperlink>
      <w:r w:rsidRPr="00D3229A">
        <w:rPr>
          <w:sz w:val="24"/>
          <w:szCs w:val="24"/>
          <w:lang w:eastAsia="en-US"/>
        </w:rPr>
        <w:t> прослеживаемых товаров вошли:</w:t>
      </w:r>
    </w:p>
    <w:p w14:paraId="055BA337" w14:textId="53564430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3229A">
        <w:rPr>
          <w:sz w:val="24"/>
          <w:szCs w:val="24"/>
          <w:lang w:eastAsia="en-US"/>
        </w:rPr>
        <w:t>профессиональная и бытовая техника, в частности: холодильники, стиральные машины, компьютерные мониторы, проекторы, телевизионные приставки;</w:t>
      </w:r>
    </w:p>
    <w:p w14:paraId="27911593" w14:textId="44642A50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3229A">
        <w:rPr>
          <w:sz w:val="24"/>
          <w:szCs w:val="24"/>
          <w:lang w:eastAsia="en-US"/>
        </w:rPr>
        <w:t>дорожный, подъемный и иной спецтранспорт (например, бульдозеры, грейдеры, погрузчики);</w:t>
      </w:r>
    </w:p>
    <w:p w14:paraId="03F582C5" w14:textId="26B3EFBE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3229A">
        <w:rPr>
          <w:sz w:val="24"/>
          <w:szCs w:val="24"/>
          <w:lang w:eastAsia="en-US"/>
        </w:rPr>
        <w:t>детские коляски и детские автокресла.</w:t>
      </w:r>
    </w:p>
    <w:p w14:paraId="60011CA5" w14:textId="77777777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CA67549" w14:textId="3DCCCB1C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Как организация учитывает у себя прослеживаемые товары, не имеет значения. Важно лишь то, что они ей </w:t>
      </w:r>
      <w:hyperlink r:id="rId7" w:history="1">
        <w:r w:rsidRPr="00D3229A">
          <w:rPr>
            <w:sz w:val="24"/>
            <w:szCs w:val="24"/>
            <w:lang w:eastAsia="en-US"/>
          </w:rPr>
          <w:t>принадлежат и пои</w:t>
        </w:r>
        <w:r w:rsidRPr="00D3229A">
          <w:rPr>
            <w:sz w:val="24"/>
            <w:szCs w:val="24"/>
            <w:lang w:eastAsia="en-US"/>
          </w:rPr>
          <w:t>м</w:t>
        </w:r>
        <w:r w:rsidRPr="00D3229A">
          <w:rPr>
            <w:sz w:val="24"/>
            <w:szCs w:val="24"/>
            <w:lang w:eastAsia="en-US"/>
          </w:rPr>
          <w:t>енованы</w:t>
        </w:r>
      </w:hyperlink>
      <w:r w:rsidRPr="00D3229A">
        <w:rPr>
          <w:sz w:val="24"/>
          <w:szCs w:val="24"/>
          <w:lang w:eastAsia="en-US"/>
        </w:rPr>
        <w:t> в перечне.</w:t>
      </w:r>
    </w:p>
    <w:p w14:paraId="7498D5CC" w14:textId="77777777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18EE7ACA" w14:textId="40D913BE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Поэтому под новые правила </w:t>
      </w:r>
      <w:hyperlink r:id="rId8" w:history="1">
        <w:r w:rsidRPr="00D3229A">
          <w:rPr>
            <w:sz w:val="24"/>
            <w:szCs w:val="24"/>
            <w:lang w:eastAsia="en-US"/>
          </w:rPr>
          <w:t>подпадают</w:t>
        </w:r>
      </w:hyperlink>
      <w:r w:rsidRPr="00D3229A">
        <w:rPr>
          <w:sz w:val="24"/>
          <w:szCs w:val="24"/>
          <w:lang w:eastAsia="en-US"/>
        </w:rPr>
        <w:t>, к примеру, основные средства, а также малоценное имущество, которое используют в основной деятельности.</w:t>
      </w:r>
    </w:p>
    <w:p w14:paraId="62D740FB" w14:textId="77777777" w:rsidR="00D3229A" w:rsidRP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0FE9683C" w14:textId="13D7F482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Если товар включен в набор или комплект, это </w:t>
      </w:r>
      <w:hyperlink r:id="rId9" w:history="1">
        <w:r w:rsidRPr="00D3229A">
          <w:rPr>
            <w:sz w:val="24"/>
            <w:szCs w:val="24"/>
            <w:lang w:eastAsia="en-US"/>
          </w:rPr>
          <w:t>не отменяет</w:t>
        </w:r>
      </w:hyperlink>
      <w:r w:rsidRPr="00D3229A">
        <w:rPr>
          <w:sz w:val="24"/>
          <w:szCs w:val="24"/>
          <w:lang w:eastAsia="en-US"/>
        </w:rPr>
        <w:t> требования к оформлению документов на него. Например, в счете-фактуре такие товары </w:t>
      </w:r>
      <w:hyperlink r:id="rId10" w:history="1">
        <w:r w:rsidRPr="00D3229A">
          <w:rPr>
            <w:sz w:val="24"/>
            <w:szCs w:val="24"/>
            <w:lang w:eastAsia="en-US"/>
          </w:rPr>
          <w:t>нужно указать</w:t>
        </w:r>
      </w:hyperlink>
      <w:r w:rsidRPr="00D3229A">
        <w:rPr>
          <w:sz w:val="24"/>
          <w:szCs w:val="24"/>
          <w:lang w:eastAsia="en-US"/>
        </w:rPr>
        <w:t> в отдельных подстроках к строке с набором (комплектом) и заполнить реквизиты прослеживаемости.</w:t>
      </w:r>
    </w:p>
    <w:p w14:paraId="5ECBE0CA" w14:textId="77777777" w:rsidR="00267DE3" w:rsidRPr="00D3229A" w:rsidRDefault="00267DE3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085078E7" w14:textId="4DE0F084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Прослеживаемость </w:t>
      </w:r>
      <w:hyperlink r:id="rId11" w:history="1">
        <w:r w:rsidRPr="00D3229A">
          <w:rPr>
            <w:sz w:val="24"/>
            <w:szCs w:val="24"/>
            <w:lang w:eastAsia="en-US"/>
          </w:rPr>
          <w:t>распро</w:t>
        </w:r>
        <w:r w:rsidRPr="00D3229A">
          <w:rPr>
            <w:sz w:val="24"/>
            <w:szCs w:val="24"/>
            <w:lang w:eastAsia="en-US"/>
          </w:rPr>
          <w:t>с</w:t>
        </w:r>
        <w:r w:rsidRPr="00D3229A">
          <w:rPr>
            <w:sz w:val="24"/>
            <w:szCs w:val="24"/>
            <w:lang w:eastAsia="en-US"/>
          </w:rPr>
          <w:t>траняется</w:t>
        </w:r>
      </w:hyperlink>
      <w:r w:rsidRPr="00D3229A">
        <w:rPr>
          <w:sz w:val="24"/>
          <w:szCs w:val="24"/>
          <w:lang w:eastAsia="en-US"/>
        </w:rPr>
        <w:t> и на товары, которые были ввезены в страну до 8 июля.</w:t>
      </w:r>
    </w:p>
    <w:p w14:paraId="4977CBF3" w14:textId="77777777" w:rsidR="00267DE3" w:rsidRPr="00D3229A" w:rsidRDefault="00267DE3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123AE4C0" w14:textId="4E7B7CC0" w:rsidR="00D3229A" w:rsidRDefault="00D3229A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D3229A">
        <w:rPr>
          <w:sz w:val="24"/>
          <w:szCs w:val="24"/>
          <w:lang w:eastAsia="en-US"/>
        </w:rPr>
        <w:t>На сайте ФНС есть сервисы для того, чтобы проверить, </w:t>
      </w:r>
      <w:hyperlink r:id="rId12" w:anchor="tab1" w:history="1">
        <w:r w:rsidRPr="00D3229A">
          <w:rPr>
            <w:sz w:val="24"/>
            <w:szCs w:val="24"/>
            <w:lang w:eastAsia="en-US"/>
          </w:rPr>
          <w:t>прослеживается ли товар</w:t>
        </w:r>
      </w:hyperlink>
      <w:r w:rsidRPr="00D3229A">
        <w:rPr>
          <w:sz w:val="24"/>
          <w:szCs w:val="24"/>
          <w:lang w:eastAsia="en-US"/>
        </w:rPr>
        <w:t> и </w:t>
      </w:r>
      <w:hyperlink r:id="rId13" w:anchor="tab0" w:history="1">
        <w:r w:rsidRPr="00D3229A">
          <w:rPr>
            <w:sz w:val="24"/>
            <w:szCs w:val="24"/>
            <w:lang w:eastAsia="en-US"/>
          </w:rPr>
          <w:t>корректен ли РНПТ</w:t>
        </w:r>
      </w:hyperlink>
      <w:r w:rsidRPr="00D3229A">
        <w:rPr>
          <w:sz w:val="24"/>
          <w:szCs w:val="24"/>
          <w:lang w:eastAsia="en-US"/>
        </w:rPr>
        <w:t>.</w:t>
      </w:r>
    </w:p>
    <w:p w14:paraId="726DA3A5" w14:textId="77777777" w:rsidR="00267DE3" w:rsidRPr="00D3229A" w:rsidRDefault="00267DE3" w:rsidP="00D3229A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8666161" w14:textId="732BDF3C" w:rsidR="00D3229A" w:rsidRDefault="00D3229A" w:rsidP="00267DE3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bookmarkStart w:id="0" w:name="anchor_2"/>
      <w:bookmarkEnd w:id="0"/>
      <w:r w:rsidRPr="00267DE3">
        <w:rPr>
          <w:color w:val="4F81BD" w:themeColor="accent1"/>
          <w:sz w:val="28"/>
          <w:szCs w:val="28"/>
          <w:lang w:eastAsia="en-US"/>
        </w:rPr>
        <w:t>Как получить РНПТ</w:t>
      </w:r>
    </w:p>
    <w:p w14:paraId="751FE905" w14:textId="77777777" w:rsidR="00267DE3" w:rsidRPr="00267DE3" w:rsidRDefault="00267DE3" w:rsidP="00267DE3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0AB2B8F5" w14:textId="3B03CC44" w:rsidR="00D3229A" w:rsidRDefault="00D3229A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267DE3">
        <w:rPr>
          <w:sz w:val="24"/>
          <w:szCs w:val="24"/>
          <w:lang w:eastAsia="en-US"/>
        </w:rPr>
        <w:t>Если товар ввезли не из ЕАЭС, а таможенная процедура — выпуск для внутреннего потребления, РНПТ </w:t>
      </w:r>
      <w:hyperlink r:id="rId14" w:history="1">
        <w:r w:rsidRPr="00267DE3">
          <w:rPr>
            <w:sz w:val="24"/>
            <w:szCs w:val="24"/>
            <w:lang w:eastAsia="en-US"/>
          </w:rPr>
          <w:t>формирует сам импортер</w:t>
        </w:r>
      </w:hyperlink>
      <w:r w:rsidRPr="00267DE3">
        <w:rPr>
          <w:sz w:val="24"/>
          <w:szCs w:val="24"/>
          <w:lang w:eastAsia="en-US"/>
        </w:rPr>
        <w:t>. Нужны номер декларации на товары (номер заявления о выпуске товара до подачи декларации) и порядковый номер прослеживаемого товара в этой декларации (заявлении).</w:t>
      </w:r>
    </w:p>
    <w:p w14:paraId="1BC02426" w14:textId="77777777" w:rsidR="00267DE3" w:rsidRPr="00267DE3" w:rsidRDefault="00267DE3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056E4615" w14:textId="59931F55" w:rsidR="00D3229A" w:rsidRDefault="00D3229A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267DE3">
        <w:rPr>
          <w:sz w:val="24"/>
          <w:szCs w:val="24"/>
          <w:lang w:eastAsia="en-US"/>
        </w:rPr>
        <w:t>В других случаях РНПТ </w:t>
      </w:r>
      <w:hyperlink r:id="rId15" w:history="1">
        <w:r w:rsidRPr="00267DE3">
          <w:rPr>
            <w:sz w:val="24"/>
            <w:szCs w:val="24"/>
            <w:lang w:eastAsia="en-US"/>
          </w:rPr>
          <w:t>выдает налоговая служба</w:t>
        </w:r>
      </w:hyperlink>
      <w:r w:rsidRPr="00267DE3">
        <w:rPr>
          <w:sz w:val="24"/>
          <w:szCs w:val="24"/>
          <w:lang w:eastAsia="en-US"/>
        </w:rPr>
        <w:t> в ответ на уведомление об остатках или уведомление о ввозе.</w:t>
      </w:r>
    </w:p>
    <w:p w14:paraId="7C25EAA6" w14:textId="77777777" w:rsidR="00267DE3" w:rsidRPr="00267DE3" w:rsidRDefault="00267DE3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2833425" w14:textId="55A7DC49" w:rsidR="00D3229A" w:rsidRDefault="00D3229A" w:rsidP="00267DE3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bookmarkStart w:id="1" w:name="anchor_3"/>
      <w:bookmarkEnd w:id="1"/>
      <w:r w:rsidRPr="00267DE3">
        <w:rPr>
          <w:color w:val="4F81BD" w:themeColor="accent1"/>
          <w:sz w:val="28"/>
          <w:szCs w:val="28"/>
          <w:lang w:eastAsia="en-US"/>
        </w:rPr>
        <w:t>Как и когда подавать уведомление об остатках прослеживаемых товаров</w:t>
      </w:r>
    </w:p>
    <w:p w14:paraId="23BAD1A2" w14:textId="77777777" w:rsidR="00267DE3" w:rsidRPr="00267DE3" w:rsidRDefault="00267DE3" w:rsidP="00267DE3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2E746934" w14:textId="16A91CCC" w:rsidR="00D3229A" w:rsidRDefault="00D3229A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267DE3">
        <w:rPr>
          <w:sz w:val="24"/>
          <w:szCs w:val="24"/>
          <w:lang w:eastAsia="en-US"/>
        </w:rPr>
        <w:lastRenderedPageBreak/>
        <w:t>Участники оборота обязаны уведомить ФНС об остатках прослеживаемых товаров. Его направляют по ТКС. Утвержденной формы уведомления и порядка заполнения пока нет, но есть </w:t>
      </w:r>
      <w:hyperlink r:id="rId16" w:history="1">
        <w:r w:rsidRPr="00267DE3">
          <w:rPr>
            <w:sz w:val="24"/>
            <w:szCs w:val="24"/>
            <w:lang w:eastAsia="en-US"/>
          </w:rPr>
          <w:t>рекомендуемые</w:t>
        </w:r>
      </w:hyperlink>
      <w:r w:rsidRPr="00267DE3">
        <w:rPr>
          <w:sz w:val="24"/>
          <w:szCs w:val="24"/>
          <w:lang w:eastAsia="en-US"/>
        </w:rPr>
        <w:t>.</w:t>
      </w:r>
    </w:p>
    <w:p w14:paraId="70C27B79" w14:textId="77777777" w:rsidR="00267DE3" w:rsidRPr="00267DE3" w:rsidRDefault="00267DE3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42F4A9CF" w14:textId="6467DBA8" w:rsidR="00D3229A" w:rsidRPr="00267DE3" w:rsidRDefault="00D3229A" w:rsidP="00267DE3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267DE3">
        <w:rPr>
          <w:sz w:val="24"/>
          <w:szCs w:val="24"/>
          <w:lang w:eastAsia="en-US"/>
        </w:rPr>
        <w:t>Уведомление об остатках, которые были </w:t>
      </w:r>
      <w:r w:rsidRPr="00267DE3">
        <w:rPr>
          <w:b/>
          <w:bCs/>
          <w:sz w:val="24"/>
          <w:szCs w:val="24"/>
          <w:lang w:eastAsia="en-US"/>
        </w:rPr>
        <w:t>8 июля</w:t>
      </w:r>
      <w:r w:rsidRPr="00267DE3">
        <w:rPr>
          <w:sz w:val="24"/>
          <w:szCs w:val="24"/>
          <w:lang w:eastAsia="en-US"/>
        </w:rPr>
        <w:t>, </w:t>
      </w:r>
      <w:hyperlink r:id="rId17" w:history="1">
        <w:r w:rsidRPr="00267DE3">
          <w:rPr>
            <w:sz w:val="24"/>
            <w:szCs w:val="24"/>
            <w:lang w:eastAsia="en-US"/>
          </w:rPr>
          <w:t>нужно направить</w:t>
        </w:r>
      </w:hyperlink>
      <w:r w:rsidRPr="00267DE3">
        <w:rPr>
          <w:sz w:val="24"/>
          <w:szCs w:val="24"/>
          <w:lang w:eastAsia="en-US"/>
        </w:rPr>
        <w:t> не позднее дня:</w:t>
      </w:r>
    </w:p>
    <w:p w14:paraId="3F2353B3" w14:textId="6CD25EC8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18" w:history="1">
        <w:r w:rsidR="00D3229A" w:rsidRPr="004E78FB">
          <w:rPr>
            <w:sz w:val="24"/>
            <w:szCs w:val="24"/>
            <w:lang w:eastAsia="en-US"/>
          </w:rPr>
          <w:t>продажи и вывоза</w:t>
        </w:r>
      </w:hyperlink>
      <w:r w:rsidR="00D3229A" w:rsidRPr="004E78FB">
        <w:rPr>
          <w:sz w:val="24"/>
          <w:szCs w:val="24"/>
          <w:lang w:eastAsia="en-US"/>
        </w:rPr>
        <w:t> за пределы России;</w:t>
      </w:r>
    </w:p>
    <w:p w14:paraId="494ECA46" w14:textId="39B377B5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19" w:history="1">
        <w:r w:rsidR="00D3229A" w:rsidRPr="004E78FB">
          <w:rPr>
            <w:sz w:val="24"/>
            <w:szCs w:val="24"/>
            <w:lang w:eastAsia="en-US"/>
          </w:rPr>
          <w:t>реализации товара</w:t>
        </w:r>
      </w:hyperlink>
      <w:r w:rsidR="00D3229A" w:rsidRPr="004E78FB">
        <w:rPr>
          <w:sz w:val="24"/>
          <w:szCs w:val="24"/>
          <w:lang w:eastAsia="en-US"/>
        </w:rPr>
        <w:t> на территории России;</w:t>
      </w:r>
    </w:p>
    <w:p w14:paraId="6EB2CDDF" w14:textId="7AC4BB05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20" w:history="1">
        <w:r w:rsidR="00D3229A" w:rsidRPr="004E78FB">
          <w:rPr>
            <w:sz w:val="24"/>
            <w:szCs w:val="24"/>
            <w:lang w:eastAsia="en-US"/>
          </w:rPr>
          <w:t>передачи товаров</w:t>
        </w:r>
      </w:hyperlink>
      <w:r w:rsidR="00D3229A" w:rsidRPr="004E78FB">
        <w:rPr>
          <w:sz w:val="24"/>
          <w:szCs w:val="24"/>
          <w:lang w:eastAsia="en-US"/>
        </w:rPr>
        <w:t> посредникам, которые действуют от своего имени, для реализации;</w:t>
      </w:r>
    </w:p>
    <w:p w14:paraId="5C90DA2C" w14:textId="212C0354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21" w:history="1">
        <w:r w:rsidR="00D3229A" w:rsidRPr="004E78FB">
          <w:rPr>
            <w:sz w:val="24"/>
            <w:szCs w:val="24"/>
            <w:lang w:eastAsia="en-US"/>
          </w:rPr>
          <w:t>безвозмездной передачи (приобретения)</w:t>
        </w:r>
      </w:hyperlink>
      <w:r w:rsidR="00D3229A" w:rsidRPr="004E78FB">
        <w:rPr>
          <w:sz w:val="24"/>
          <w:szCs w:val="24"/>
          <w:lang w:eastAsia="en-US"/>
        </w:rPr>
        <w:t>;</w:t>
      </w:r>
    </w:p>
    <w:p w14:paraId="3C0EB50F" w14:textId="79E1281F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22" w:history="1">
        <w:r w:rsidR="00D3229A" w:rsidRPr="004E78FB">
          <w:rPr>
            <w:sz w:val="24"/>
            <w:szCs w:val="24"/>
            <w:lang w:eastAsia="en-US"/>
          </w:rPr>
          <w:t>прекращения прослеживаемости</w:t>
        </w:r>
      </w:hyperlink>
      <w:r w:rsidR="00D3229A" w:rsidRPr="004E78FB">
        <w:rPr>
          <w:sz w:val="24"/>
          <w:szCs w:val="24"/>
          <w:lang w:eastAsia="en-US"/>
        </w:rPr>
        <w:t> товара, например в связи с продажей физлицу-потребителю или самозанятому (см. полный перечень оснований);</w:t>
      </w:r>
    </w:p>
    <w:p w14:paraId="1B44C995" w14:textId="0BF1F3F2" w:rsidR="00D3229A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hyperlink r:id="rId23" w:history="1">
        <w:r w:rsidR="00D3229A" w:rsidRPr="004E78FB">
          <w:rPr>
            <w:sz w:val="24"/>
            <w:szCs w:val="24"/>
            <w:lang w:eastAsia="en-US"/>
          </w:rPr>
          <w:t>передачи товара</w:t>
        </w:r>
      </w:hyperlink>
      <w:r w:rsidR="00D3229A" w:rsidRPr="004E78FB">
        <w:rPr>
          <w:sz w:val="24"/>
          <w:szCs w:val="24"/>
          <w:lang w:eastAsia="en-US"/>
        </w:rPr>
        <w:t> правопреемнику при реорганизации юрлица, передачи товара в качестве вклада в уставный капитал, взноса в имущество организации и т.п.</w:t>
      </w:r>
    </w:p>
    <w:p w14:paraId="5C2849ED" w14:textId="77777777" w:rsidR="004E78FB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38F61765" w14:textId="0CD0673A" w:rsidR="00D3229A" w:rsidRPr="004E78FB" w:rsidRDefault="00D3229A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E78FB">
        <w:rPr>
          <w:sz w:val="24"/>
          <w:szCs w:val="24"/>
          <w:lang w:eastAsia="en-US"/>
        </w:rPr>
        <w:t>В тот же срок нужно уведомлять об остатках товаров, которые оказались у компании или предпринимателя </w:t>
      </w:r>
      <w:r w:rsidRPr="004E78FB">
        <w:rPr>
          <w:b/>
          <w:bCs/>
          <w:sz w:val="24"/>
          <w:szCs w:val="24"/>
          <w:lang w:eastAsia="en-US"/>
        </w:rPr>
        <w:t>после 8 июля</w:t>
      </w:r>
      <w:r w:rsidRPr="004E78FB">
        <w:rPr>
          <w:sz w:val="24"/>
          <w:szCs w:val="24"/>
          <w:lang w:eastAsia="en-US"/>
        </w:rPr>
        <w:t> по следующим </w:t>
      </w:r>
      <w:hyperlink r:id="rId24" w:history="1">
        <w:r w:rsidRPr="004E78FB">
          <w:rPr>
            <w:sz w:val="24"/>
            <w:szCs w:val="24"/>
            <w:lang w:eastAsia="en-US"/>
          </w:rPr>
          <w:t>основаниям</w:t>
        </w:r>
      </w:hyperlink>
      <w:r w:rsidRPr="004E78FB">
        <w:rPr>
          <w:sz w:val="24"/>
          <w:szCs w:val="24"/>
          <w:lang w:eastAsia="en-US"/>
        </w:rPr>
        <w:t>:</w:t>
      </w:r>
    </w:p>
    <w:p w14:paraId="53EC555B" w14:textId="0DC91F88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покупка товара у физлица, который использовал его для личных нужд;</w:t>
      </w:r>
    </w:p>
    <w:p w14:paraId="2C9371D4" w14:textId="4D595D65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покупка товара у самозанятого;</w:t>
      </w:r>
    </w:p>
    <w:p w14:paraId="2F82AFD4" w14:textId="362D258F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покупка у госорганов конфискованных товаров;</w:t>
      </w:r>
    </w:p>
    <w:p w14:paraId="43A01B60" w14:textId="03DB06DB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возврат товара, приобретенного до 8 июля потребителем-физлицом или самозанятым;</w:t>
      </w:r>
    </w:p>
    <w:p w14:paraId="70471707" w14:textId="6E5C797F" w:rsidR="00D3229A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ввоз товара на основании транспортных, перевозочных, коммерческих или иных документов, а не таможенной декларации.</w:t>
      </w:r>
    </w:p>
    <w:p w14:paraId="6CADE9B5" w14:textId="77777777" w:rsidR="004E78FB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24B499F" w14:textId="0BFB3690" w:rsidR="00D3229A" w:rsidRPr="004E78FB" w:rsidRDefault="00D3229A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E78FB">
        <w:rPr>
          <w:sz w:val="24"/>
          <w:szCs w:val="24"/>
          <w:lang w:eastAsia="en-US"/>
        </w:rPr>
        <w:t>ФНС </w:t>
      </w:r>
      <w:hyperlink r:id="rId25" w:history="1">
        <w:r w:rsidRPr="004E78FB">
          <w:rPr>
            <w:sz w:val="24"/>
            <w:szCs w:val="24"/>
            <w:lang w:eastAsia="en-US"/>
          </w:rPr>
          <w:t>направит РНПТ</w:t>
        </w:r>
      </w:hyperlink>
      <w:r w:rsidRPr="004E78FB">
        <w:rPr>
          <w:sz w:val="24"/>
          <w:szCs w:val="24"/>
          <w:lang w:eastAsia="en-US"/>
        </w:rPr>
        <w:t> не позднее следующего календарного дня после получения уведомления.</w:t>
      </w:r>
    </w:p>
    <w:p w14:paraId="4D54501F" w14:textId="6C791098" w:rsidR="00D3229A" w:rsidRPr="004E78FB" w:rsidRDefault="00D3229A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E78FB">
        <w:rPr>
          <w:sz w:val="24"/>
          <w:szCs w:val="24"/>
          <w:lang w:eastAsia="en-US"/>
        </w:rPr>
        <w:t>Если уведомление сформировали в период с 1 по 7 июля (т.е. до введения обязательной прослеживаемости) и налоговая выдала РНПТ, этим номером </w:t>
      </w:r>
      <w:hyperlink r:id="rId26" w:history="1">
        <w:r w:rsidRPr="004E78FB">
          <w:rPr>
            <w:sz w:val="24"/>
            <w:szCs w:val="24"/>
            <w:lang w:eastAsia="en-US"/>
          </w:rPr>
          <w:t>можно пользоваться</w:t>
        </w:r>
      </w:hyperlink>
      <w:r w:rsidRPr="004E78FB">
        <w:rPr>
          <w:sz w:val="24"/>
          <w:szCs w:val="24"/>
          <w:lang w:eastAsia="en-US"/>
        </w:rPr>
        <w:t>.</w:t>
      </w:r>
    </w:p>
    <w:p w14:paraId="36929CBD" w14:textId="5D4DEAEF" w:rsidR="00D3229A" w:rsidRPr="004E78FB" w:rsidRDefault="00D3229A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E78FB">
        <w:rPr>
          <w:sz w:val="24"/>
          <w:szCs w:val="24"/>
          <w:lang w:eastAsia="en-US"/>
        </w:rPr>
        <w:t>Если уведомление об остатках направили по ошибке, </w:t>
      </w:r>
      <w:hyperlink r:id="rId27" w:history="1">
        <w:r w:rsidRPr="004E78FB">
          <w:rPr>
            <w:sz w:val="24"/>
            <w:szCs w:val="24"/>
            <w:lang w:eastAsia="en-US"/>
          </w:rPr>
          <w:t>следует сдать</w:t>
        </w:r>
      </w:hyperlink>
      <w:r w:rsidRPr="004E78FB">
        <w:rPr>
          <w:sz w:val="24"/>
          <w:szCs w:val="24"/>
          <w:lang w:eastAsia="en-US"/>
        </w:rPr>
        <w:t> корректировочное уведомление и указать в нем количество товаров "0".</w:t>
      </w:r>
    </w:p>
    <w:p w14:paraId="073D766F" w14:textId="77777777" w:rsidR="004E78FB" w:rsidRDefault="004E78FB" w:rsidP="004E78FB">
      <w:pPr>
        <w:shd w:val="clear" w:color="auto" w:fill="auto"/>
        <w:textAlignment w:val="auto"/>
        <w:rPr>
          <w:b/>
          <w:bCs/>
          <w:sz w:val="24"/>
          <w:szCs w:val="24"/>
          <w:lang w:eastAsia="en-US"/>
        </w:rPr>
      </w:pPr>
    </w:p>
    <w:p w14:paraId="3193D295" w14:textId="2C63AF01" w:rsidR="00D3229A" w:rsidRPr="004E78FB" w:rsidRDefault="00D3229A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4E78FB">
        <w:rPr>
          <w:b/>
          <w:bCs/>
          <w:sz w:val="24"/>
          <w:szCs w:val="24"/>
          <w:lang w:eastAsia="en-US"/>
        </w:rPr>
        <w:t>Не нужно</w:t>
      </w:r>
      <w:r w:rsidRPr="004E78FB">
        <w:rPr>
          <w:sz w:val="24"/>
          <w:szCs w:val="24"/>
          <w:lang w:eastAsia="en-US"/>
        </w:rPr>
        <w:t> направлять уведомление по товарам, которые отвечают </w:t>
      </w:r>
      <w:hyperlink r:id="rId28" w:history="1">
        <w:r w:rsidRPr="004E78FB">
          <w:rPr>
            <w:sz w:val="24"/>
            <w:szCs w:val="24"/>
            <w:lang w:eastAsia="en-US"/>
          </w:rPr>
          <w:t>следующим условиям</w:t>
        </w:r>
      </w:hyperlink>
      <w:r w:rsidRPr="004E78FB">
        <w:rPr>
          <w:sz w:val="24"/>
          <w:szCs w:val="24"/>
          <w:lang w:eastAsia="en-US"/>
        </w:rPr>
        <w:t>:</w:t>
      </w:r>
    </w:p>
    <w:p w14:paraId="0F026264" w14:textId="3FFB727B" w:rsidR="00D3229A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товар передан до 8 июля и предназначен для реализации физлицам-потребителям или самозанятым;</w:t>
      </w:r>
    </w:p>
    <w:p w14:paraId="69855C02" w14:textId="66C56DC0" w:rsidR="00D3229A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4E78FB">
        <w:rPr>
          <w:sz w:val="24"/>
          <w:szCs w:val="24"/>
          <w:lang w:eastAsia="en-US"/>
        </w:rPr>
        <w:t>товар будет реализован к 8 января 2022 года.</w:t>
      </w:r>
    </w:p>
    <w:p w14:paraId="3F105A75" w14:textId="77777777" w:rsidR="004E78FB" w:rsidRPr="004E78FB" w:rsidRDefault="004E78FB" w:rsidP="004E78FB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3C27B615" w14:textId="77777777" w:rsidR="00D3229A" w:rsidRPr="004E78FB" w:rsidRDefault="00D3229A" w:rsidP="004E78FB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bookmarkStart w:id="2" w:name="anchor_4"/>
      <w:bookmarkEnd w:id="2"/>
      <w:r w:rsidRPr="004E78FB">
        <w:rPr>
          <w:color w:val="4F81BD" w:themeColor="accent1"/>
          <w:sz w:val="28"/>
          <w:szCs w:val="28"/>
          <w:lang w:eastAsia="en-US"/>
        </w:rPr>
        <w:t>Как и когда подавать отчет об операциях, уведомления о ввозе и перемещении</w:t>
      </w:r>
    </w:p>
    <w:p w14:paraId="5A81190C" w14:textId="77777777" w:rsidR="00D3229A" w:rsidRPr="004E78FB" w:rsidRDefault="00D3229A" w:rsidP="00D3229A">
      <w:pPr>
        <w:pStyle w:val="3"/>
        <w:shd w:val="clear" w:color="auto" w:fill="FFFFFF"/>
        <w:textAlignment w:val="baseline"/>
        <w:rPr>
          <w:color w:val="000000" w:themeColor="text1"/>
        </w:rPr>
      </w:pPr>
      <w:r w:rsidRPr="004E78FB">
        <w:rPr>
          <w:color w:val="000000" w:themeColor="text1"/>
        </w:rPr>
        <w:t>Отчет об операциях</w:t>
      </w:r>
    </w:p>
    <w:p w14:paraId="591CC6E8" w14:textId="73DEA856" w:rsid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Те, кто </w:t>
      </w:r>
      <w:r w:rsidRPr="000A49D2">
        <w:rPr>
          <w:b/>
          <w:bCs/>
          <w:sz w:val="24"/>
          <w:szCs w:val="24"/>
          <w:lang w:eastAsia="en-US"/>
        </w:rPr>
        <w:t>не платит НДС</w:t>
      </w:r>
      <w:r w:rsidRPr="000A49D2">
        <w:rPr>
          <w:sz w:val="24"/>
          <w:szCs w:val="24"/>
          <w:lang w:eastAsia="en-US"/>
        </w:rPr>
        <w:t>, но работает с прослеживаемыми</w:t>
      </w:r>
      <w:r w:rsidR="000A49D2">
        <w:rPr>
          <w:sz w:val="24"/>
          <w:szCs w:val="24"/>
          <w:lang w:eastAsia="en-US"/>
        </w:rPr>
        <w:t xml:space="preserve"> </w:t>
      </w:r>
      <w:r w:rsidRPr="000A49D2">
        <w:rPr>
          <w:sz w:val="24"/>
          <w:szCs w:val="24"/>
          <w:lang w:eastAsia="en-US"/>
        </w:rPr>
        <w:t>товарами, </w:t>
      </w:r>
      <w:hyperlink r:id="rId29" w:history="1">
        <w:r w:rsidRPr="000A49D2">
          <w:rPr>
            <w:sz w:val="24"/>
            <w:szCs w:val="24"/>
            <w:lang w:eastAsia="en-US"/>
          </w:rPr>
          <w:t>должны</w:t>
        </w:r>
      </w:hyperlink>
      <w:r w:rsidRPr="000A49D2">
        <w:rPr>
          <w:sz w:val="24"/>
          <w:szCs w:val="24"/>
          <w:lang w:eastAsia="en-US"/>
        </w:rPr>
        <w:t> подать </w:t>
      </w:r>
      <w:hyperlink r:id="rId30" w:history="1">
        <w:r w:rsidRPr="000A49D2">
          <w:rPr>
            <w:sz w:val="24"/>
            <w:szCs w:val="24"/>
            <w:lang w:eastAsia="en-US"/>
          </w:rPr>
          <w:t>отчет</w:t>
        </w:r>
      </w:hyperlink>
      <w:r w:rsidRPr="000A49D2">
        <w:rPr>
          <w:sz w:val="24"/>
          <w:szCs w:val="24"/>
          <w:lang w:eastAsia="en-US"/>
        </w:rPr>
        <w:t> об операциях по передаче и получению товаров,</w:t>
      </w:r>
      <w:r w:rsidR="000A49D2">
        <w:rPr>
          <w:sz w:val="24"/>
          <w:szCs w:val="24"/>
          <w:lang w:eastAsia="en-US"/>
        </w:rPr>
        <w:t xml:space="preserve"> </w:t>
      </w:r>
      <w:r w:rsidRPr="000A49D2">
        <w:rPr>
          <w:sz w:val="24"/>
          <w:szCs w:val="24"/>
          <w:lang w:eastAsia="en-US"/>
        </w:rPr>
        <w:t>о </w:t>
      </w:r>
      <w:hyperlink r:id="rId31" w:history="1">
        <w:r w:rsidRPr="000A49D2">
          <w:rPr>
            <w:sz w:val="24"/>
            <w:szCs w:val="24"/>
            <w:lang w:eastAsia="en-US"/>
          </w:rPr>
          <w:t>прекращении</w:t>
        </w:r>
      </w:hyperlink>
      <w:r w:rsidRPr="000A49D2">
        <w:rPr>
          <w:sz w:val="24"/>
          <w:szCs w:val="24"/>
          <w:lang w:eastAsia="en-US"/>
        </w:rPr>
        <w:t> (кроме вывоза из России в Белоруссию, Казахстан, Армению или Киргизию) или </w:t>
      </w:r>
      <w:hyperlink r:id="rId32" w:history="1">
        <w:r w:rsidRPr="000A49D2">
          <w:rPr>
            <w:sz w:val="24"/>
            <w:szCs w:val="24"/>
            <w:lang w:eastAsia="en-US"/>
          </w:rPr>
          <w:t>возобновлении</w:t>
        </w:r>
      </w:hyperlink>
      <w:r w:rsidRPr="000A49D2">
        <w:rPr>
          <w:sz w:val="24"/>
          <w:szCs w:val="24"/>
          <w:lang w:eastAsia="en-US"/>
        </w:rPr>
        <w:t> прослеживаемости.</w:t>
      </w:r>
    </w:p>
    <w:p w14:paraId="2243E08C" w14:textId="06A3E88B" w:rsidR="00D3229A" w:rsidRP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b/>
          <w:bCs/>
          <w:sz w:val="24"/>
          <w:szCs w:val="24"/>
          <w:lang w:eastAsia="en-US"/>
        </w:rPr>
        <w:t>Плательщики НДС</w:t>
      </w:r>
      <w:r w:rsidRPr="000A49D2">
        <w:rPr>
          <w:sz w:val="24"/>
          <w:szCs w:val="24"/>
          <w:lang w:eastAsia="en-US"/>
        </w:rPr>
        <w:t>, как правило, не должны подавать отчет об операциях, потому что налоговая может взять сведения из деклараций. Но есть несколько </w:t>
      </w:r>
      <w:hyperlink r:id="rId33" w:history="1">
        <w:r w:rsidRPr="000A49D2">
          <w:rPr>
            <w:sz w:val="24"/>
            <w:szCs w:val="24"/>
            <w:lang w:eastAsia="en-US"/>
          </w:rPr>
          <w:t>исключений</w:t>
        </w:r>
      </w:hyperlink>
      <w:r w:rsidRPr="000A49D2">
        <w:rPr>
          <w:sz w:val="24"/>
          <w:szCs w:val="24"/>
          <w:lang w:eastAsia="en-US"/>
        </w:rPr>
        <w:t>.</w:t>
      </w:r>
    </w:p>
    <w:p w14:paraId="210A12FC" w14:textId="6CFFD50D" w:rsidR="00D3229A" w:rsidRP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Срок подачи отчета — </w:t>
      </w:r>
      <w:hyperlink r:id="rId34" w:history="1">
        <w:r w:rsidRPr="000A49D2">
          <w:rPr>
            <w:sz w:val="24"/>
            <w:szCs w:val="24"/>
            <w:lang w:eastAsia="en-US"/>
          </w:rPr>
          <w:t>25 число</w:t>
        </w:r>
      </w:hyperlink>
      <w:r w:rsidRPr="000A49D2">
        <w:rPr>
          <w:sz w:val="24"/>
          <w:szCs w:val="24"/>
          <w:lang w:eastAsia="en-US"/>
        </w:rPr>
        <w:t> месяца, следующего за истекшим кварталом, т.е. первый раз его надо представить не позднее 25 октября.</w:t>
      </w:r>
    </w:p>
    <w:p w14:paraId="5328C185" w14:textId="77777777" w:rsidR="000A49D2" w:rsidRDefault="00D3229A" w:rsidP="000A49D2">
      <w:pPr>
        <w:pStyle w:val="3"/>
        <w:shd w:val="clear" w:color="auto" w:fill="FFFFFF"/>
        <w:textAlignment w:val="baseline"/>
        <w:rPr>
          <w:color w:val="000000" w:themeColor="text1"/>
        </w:rPr>
      </w:pPr>
      <w:r w:rsidRPr="000A49D2">
        <w:rPr>
          <w:color w:val="000000" w:themeColor="text1"/>
        </w:rPr>
        <w:t>Уведомление о ввозе</w:t>
      </w:r>
    </w:p>
    <w:p w14:paraId="4886F19E" w14:textId="5D94DB30" w:rsidR="00D3229A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hyperlink r:id="rId35" w:history="1">
        <w:r w:rsidRPr="000A49D2">
          <w:rPr>
            <w:sz w:val="24"/>
            <w:szCs w:val="24"/>
            <w:lang w:eastAsia="en-US"/>
          </w:rPr>
          <w:t>Документ</w:t>
        </w:r>
      </w:hyperlink>
      <w:r w:rsidRPr="000A49D2">
        <w:rPr>
          <w:sz w:val="24"/>
          <w:szCs w:val="24"/>
          <w:lang w:eastAsia="en-US"/>
        </w:rPr>
        <w:t> надо подать в налоговую при ввозе товаров, приобретенных в Белоруссии, Казахстане, Армении или Киргизии. Срок — </w:t>
      </w:r>
      <w:hyperlink r:id="rId36" w:history="1">
        <w:r w:rsidRPr="000A49D2">
          <w:rPr>
            <w:sz w:val="24"/>
            <w:szCs w:val="24"/>
            <w:lang w:eastAsia="en-US"/>
          </w:rPr>
          <w:t>5 рабочих дней</w:t>
        </w:r>
      </w:hyperlink>
      <w:r w:rsidRPr="000A49D2">
        <w:rPr>
          <w:sz w:val="24"/>
          <w:szCs w:val="24"/>
          <w:lang w:eastAsia="en-US"/>
        </w:rPr>
        <w:t> с даты принятия на учет. ФНС </w:t>
      </w:r>
      <w:hyperlink r:id="rId37" w:history="1">
        <w:r w:rsidRPr="000A49D2">
          <w:rPr>
            <w:sz w:val="24"/>
            <w:szCs w:val="24"/>
            <w:lang w:eastAsia="en-US"/>
          </w:rPr>
          <w:t>выдаст РНПТ</w:t>
        </w:r>
      </w:hyperlink>
      <w:r w:rsidRPr="000A49D2">
        <w:rPr>
          <w:sz w:val="24"/>
          <w:szCs w:val="24"/>
          <w:lang w:eastAsia="en-US"/>
        </w:rPr>
        <w:t> не позднее следующего календарного дня.</w:t>
      </w:r>
    </w:p>
    <w:p w14:paraId="32A9B268" w14:textId="77777777" w:rsidR="000A49D2" w:rsidRPr="000A49D2" w:rsidRDefault="000A49D2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BF01FD9" w14:textId="77777777" w:rsidR="00D3229A" w:rsidRPr="000A49D2" w:rsidRDefault="00D3229A" w:rsidP="00D3229A">
      <w:pPr>
        <w:pStyle w:val="3"/>
        <w:shd w:val="clear" w:color="auto" w:fill="FFFFFF"/>
        <w:textAlignment w:val="baseline"/>
        <w:rPr>
          <w:color w:val="000000" w:themeColor="text1"/>
        </w:rPr>
      </w:pPr>
      <w:r w:rsidRPr="000A49D2">
        <w:rPr>
          <w:color w:val="000000" w:themeColor="text1"/>
        </w:rPr>
        <w:t>Уведомление о перемещении</w:t>
      </w:r>
    </w:p>
    <w:p w14:paraId="4602C5C9" w14:textId="147B44D1" w:rsidR="00D3229A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hyperlink r:id="rId38" w:history="1">
        <w:r w:rsidRPr="000A49D2">
          <w:rPr>
            <w:sz w:val="24"/>
            <w:szCs w:val="24"/>
            <w:lang w:eastAsia="en-US"/>
          </w:rPr>
          <w:t>Форму</w:t>
        </w:r>
      </w:hyperlink>
      <w:r w:rsidRPr="000A49D2">
        <w:rPr>
          <w:sz w:val="24"/>
          <w:szCs w:val="24"/>
          <w:lang w:eastAsia="en-US"/>
        </w:rPr>
        <w:t> надо подать, если товар продали и вывезли в Белоруссию, Казахстан, Армению или Киргизию. Срок — </w:t>
      </w:r>
      <w:hyperlink r:id="rId39" w:history="1">
        <w:r w:rsidRPr="000A49D2">
          <w:rPr>
            <w:sz w:val="24"/>
            <w:szCs w:val="24"/>
            <w:lang w:eastAsia="en-US"/>
          </w:rPr>
          <w:t>5 рабочих дней</w:t>
        </w:r>
      </w:hyperlink>
      <w:r w:rsidRPr="000A49D2">
        <w:rPr>
          <w:sz w:val="24"/>
          <w:szCs w:val="24"/>
          <w:lang w:eastAsia="en-US"/>
        </w:rPr>
        <w:t> с даты отгрузки.</w:t>
      </w:r>
    </w:p>
    <w:p w14:paraId="580BC6F6" w14:textId="77777777" w:rsidR="000A49D2" w:rsidRPr="000A49D2" w:rsidRDefault="000A49D2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736A96E5" w14:textId="66815E8E" w:rsidR="00D3229A" w:rsidRDefault="00D3229A" w:rsidP="000A49D2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bookmarkStart w:id="3" w:name="anchor_5"/>
      <w:bookmarkEnd w:id="3"/>
      <w:r w:rsidRPr="000A49D2">
        <w:rPr>
          <w:color w:val="4F81BD" w:themeColor="accent1"/>
          <w:sz w:val="28"/>
          <w:szCs w:val="28"/>
          <w:lang w:eastAsia="en-US"/>
        </w:rPr>
        <w:t>Как оформить счет-фактуру на прослеживаемые товары</w:t>
      </w:r>
    </w:p>
    <w:p w14:paraId="0C155404" w14:textId="77777777" w:rsidR="003656ED" w:rsidRPr="000A49D2" w:rsidRDefault="003656ED" w:rsidP="000A49D2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5B2BB817" w14:textId="5FF796FA" w:rsidR="00D3229A" w:rsidRP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Счет-фактура должен быть в электронном виде. </w:t>
      </w:r>
      <w:hyperlink r:id="rId40" w:history="1">
        <w:r w:rsidRPr="000A49D2">
          <w:rPr>
            <w:sz w:val="24"/>
            <w:szCs w:val="24"/>
            <w:lang w:eastAsia="en-US"/>
          </w:rPr>
          <w:t>Исключения</w:t>
        </w:r>
      </w:hyperlink>
      <w:r w:rsidRPr="000A49D2">
        <w:rPr>
          <w:sz w:val="24"/>
          <w:szCs w:val="24"/>
          <w:lang w:eastAsia="en-US"/>
        </w:rPr>
        <w:t>:</w:t>
      </w:r>
    </w:p>
    <w:p w14:paraId="37422F96" w14:textId="5638B442" w:rsidR="00D3229A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0A49D2">
        <w:rPr>
          <w:sz w:val="24"/>
          <w:szCs w:val="24"/>
          <w:lang w:eastAsia="en-US"/>
        </w:rPr>
        <w:t>покупка товаров физлицом (не для бизнеса) или самозанятым;</w:t>
      </w:r>
    </w:p>
    <w:p w14:paraId="0128502F" w14:textId="2D3C883B" w:rsidR="00D3229A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0A49D2">
        <w:rPr>
          <w:sz w:val="24"/>
          <w:szCs w:val="24"/>
          <w:lang w:eastAsia="en-US"/>
        </w:rPr>
        <w:t>экспорт (реэкспорт) товаров за пределы РФ;</w:t>
      </w:r>
    </w:p>
    <w:p w14:paraId="0298C184" w14:textId="2944DC8B" w:rsidR="00D3229A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D3229A" w:rsidRPr="000A49D2">
        <w:rPr>
          <w:sz w:val="24"/>
          <w:szCs w:val="24"/>
          <w:lang w:eastAsia="en-US"/>
        </w:rPr>
        <w:t>продажа и вывоз товара в Белоруссию, Казахстан, Армению или Киргизию.</w:t>
      </w:r>
    </w:p>
    <w:p w14:paraId="51CD9816" w14:textId="77777777" w:rsidR="003656ED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39449F66" w14:textId="57506ACB" w:rsidR="00D3229A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Если продавец не платит НДС (например, применяет упрощенку), он </w:t>
      </w:r>
      <w:hyperlink r:id="rId41" w:history="1">
        <w:r w:rsidRPr="000A49D2">
          <w:rPr>
            <w:sz w:val="24"/>
            <w:szCs w:val="24"/>
            <w:lang w:eastAsia="en-US"/>
          </w:rPr>
          <w:t>должен составлять</w:t>
        </w:r>
      </w:hyperlink>
      <w:r w:rsidRPr="000A49D2">
        <w:rPr>
          <w:sz w:val="24"/>
          <w:szCs w:val="24"/>
          <w:lang w:eastAsia="en-US"/>
        </w:rPr>
        <w:t> электронные УПД, подписывать их квалифицированной электронной подписью и передавать покупателям.</w:t>
      </w:r>
    </w:p>
    <w:p w14:paraId="431DCFAD" w14:textId="77777777" w:rsidR="003656ED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18A3E51B" w14:textId="69B50932" w:rsidR="00D3229A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У покупателей – организаций и ИП </w:t>
      </w:r>
      <w:hyperlink r:id="rId42" w:history="1">
        <w:r w:rsidRPr="000A49D2">
          <w:rPr>
            <w:sz w:val="24"/>
            <w:szCs w:val="24"/>
            <w:lang w:eastAsia="en-US"/>
          </w:rPr>
          <w:t>должна быть возможность</w:t>
        </w:r>
      </w:hyperlink>
      <w:r w:rsidRPr="000A49D2">
        <w:rPr>
          <w:sz w:val="24"/>
          <w:szCs w:val="24"/>
          <w:lang w:eastAsia="en-US"/>
        </w:rPr>
        <w:t> получать электронные счета-фактуры и первичку по ТКС.</w:t>
      </w:r>
    </w:p>
    <w:p w14:paraId="612EABD6" w14:textId="77777777" w:rsidR="003656ED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62990E41" w14:textId="4F3BCC51" w:rsidR="00D3229A" w:rsidRP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Счет-фактуру </w:t>
      </w:r>
      <w:hyperlink r:id="rId43" w:history="1">
        <w:r w:rsidRPr="000A49D2">
          <w:rPr>
            <w:sz w:val="24"/>
            <w:szCs w:val="24"/>
            <w:lang w:eastAsia="en-US"/>
          </w:rPr>
          <w:t>нужно оформлять</w:t>
        </w:r>
      </w:hyperlink>
      <w:r w:rsidRPr="000A49D2">
        <w:rPr>
          <w:sz w:val="24"/>
          <w:szCs w:val="24"/>
          <w:lang w:eastAsia="en-US"/>
        </w:rPr>
        <w:t> и для покупателей, которые не платят НДС.</w:t>
      </w:r>
    </w:p>
    <w:p w14:paraId="24C4BE77" w14:textId="6B9A868E" w:rsidR="00D3229A" w:rsidRPr="000A49D2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В табличной части счета-фактуры надо нумеровать строки. В одной строке должны быть прослеживаемые товары, у которых совпадают наименования (графа 1а), единицы измерения (графа 2а) и цены за единицу (графа 4). При этом для каждого РНПТ нужна отдельная подстрока с графами 11 - 13.</w:t>
      </w:r>
    </w:p>
    <w:p w14:paraId="2ACB8F75" w14:textId="5683276D" w:rsidR="00D3229A" w:rsidRDefault="00D3229A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0A49D2">
        <w:rPr>
          <w:sz w:val="24"/>
          <w:szCs w:val="24"/>
          <w:lang w:eastAsia="en-US"/>
        </w:rPr>
        <w:t>Счет-фактура может содержать данные как о прослеживаемых, так и непрослеживаемых товарах. Это не запрещено.</w:t>
      </w:r>
    </w:p>
    <w:p w14:paraId="008C7604" w14:textId="77777777" w:rsidR="003656ED" w:rsidRPr="000A49D2" w:rsidRDefault="003656ED" w:rsidP="000A49D2">
      <w:pPr>
        <w:shd w:val="clear" w:color="auto" w:fill="auto"/>
        <w:textAlignment w:val="auto"/>
        <w:rPr>
          <w:sz w:val="24"/>
          <w:szCs w:val="24"/>
          <w:lang w:eastAsia="en-US"/>
        </w:rPr>
      </w:pPr>
    </w:p>
    <w:p w14:paraId="5E4B4622" w14:textId="27981CC5" w:rsidR="00D3229A" w:rsidRDefault="00D3229A" w:rsidP="003656ED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  <w:bookmarkStart w:id="4" w:name="anchor_6"/>
      <w:bookmarkEnd w:id="4"/>
      <w:r w:rsidRPr="003656ED">
        <w:rPr>
          <w:color w:val="4F81BD" w:themeColor="accent1"/>
          <w:sz w:val="28"/>
          <w:szCs w:val="28"/>
          <w:lang w:eastAsia="en-US"/>
        </w:rPr>
        <w:t>Ответственность</w:t>
      </w:r>
    </w:p>
    <w:p w14:paraId="11947694" w14:textId="77777777" w:rsidR="003656ED" w:rsidRPr="003656ED" w:rsidRDefault="003656ED" w:rsidP="003656ED">
      <w:pPr>
        <w:shd w:val="clear" w:color="auto" w:fill="auto"/>
        <w:autoSpaceDE w:val="0"/>
        <w:autoSpaceDN w:val="0"/>
        <w:adjustRightInd w:val="0"/>
        <w:textAlignment w:val="auto"/>
        <w:rPr>
          <w:color w:val="4F81BD" w:themeColor="accent1"/>
          <w:sz w:val="28"/>
          <w:szCs w:val="28"/>
          <w:lang w:eastAsia="en-US"/>
        </w:rPr>
      </w:pPr>
    </w:p>
    <w:p w14:paraId="08CE5CE6" w14:textId="2E4444AB" w:rsidR="00D3229A" w:rsidRPr="003656ED" w:rsidRDefault="00D3229A" w:rsidP="003656ED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3656ED">
        <w:rPr>
          <w:sz w:val="24"/>
          <w:szCs w:val="24"/>
          <w:lang w:eastAsia="en-US"/>
        </w:rPr>
        <w:t>ФНС </w:t>
      </w:r>
      <w:hyperlink r:id="rId44" w:history="1">
        <w:r w:rsidRPr="003656ED">
          <w:rPr>
            <w:sz w:val="24"/>
            <w:szCs w:val="24"/>
            <w:lang w:eastAsia="en-US"/>
          </w:rPr>
          <w:t>разъяснила</w:t>
        </w:r>
      </w:hyperlink>
      <w:r w:rsidRPr="003656ED">
        <w:rPr>
          <w:sz w:val="24"/>
          <w:szCs w:val="24"/>
          <w:lang w:eastAsia="en-US"/>
        </w:rPr>
        <w:t>, что в рамках переходного периода (не менее года) нет ответственности за нарушение правил прослеживаемости. Участникам оборота дают время, чтобы настроить программное обеспечение.</w:t>
      </w:r>
    </w:p>
    <w:p w14:paraId="6FCE8F29" w14:textId="7313C0E2" w:rsidR="00D3229A" w:rsidRPr="003656ED" w:rsidRDefault="00D3229A" w:rsidP="003656ED">
      <w:pPr>
        <w:shd w:val="clear" w:color="auto" w:fill="auto"/>
        <w:textAlignment w:val="auto"/>
        <w:rPr>
          <w:sz w:val="24"/>
          <w:szCs w:val="24"/>
          <w:lang w:eastAsia="en-US"/>
        </w:rPr>
      </w:pPr>
      <w:r w:rsidRPr="003656ED">
        <w:rPr>
          <w:sz w:val="24"/>
          <w:szCs w:val="24"/>
          <w:lang w:eastAsia="en-US"/>
        </w:rPr>
        <w:t>От соблюдения правил прослеживаемости </w:t>
      </w:r>
      <w:hyperlink r:id="rId45" w:history="1">
        <w:r w:rsidRPr="003656ED">
          <w:rPr>
            <w:sz w:val="24"/>
            <w:szCs w:val="24"/>
            <w:lang w:eastAsia="en-US"/>
          </w:rPr>
          <w:t>не зависит</w:t>
        </w:r>
      </w:hyperlink>
      <w:r w:rsidRPr="003656ED">
        <w:rPr>
          <w:sz w:val="24"/>
          <w:szCs w:val="24"/>
          <w:lang w:eastAsia="en-US"/>
        </w:rPr>
        <w:t> получение вычетов по НДС, а также учет расходов по налогу на прибыль и налогу в связи с применением УСН.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194"/>
      </w:tblGrid>
      <w:tr w:rsidR="00D3229A" w14:paraId="17528684" w14:textId="77777777" w:rsidTr="003656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B18CC" w14:textId="77777777" w:rsidR="003656ED" w:rsidRPr="003656ED" w:rsidRDefault="003656ED" w:rsidP="00D3229A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14:paraId="3425F61C" w14:textId="1E1AE1F4" w:rsidR="00D3229A" w:rsidRPr="003656ED" w:rsidRDefault="003656ED" w:rsidP="00D3229A">
            <w:pPr>
              <w:rPr>
                <w:color w:val="auto"/>
                <w:sz w:val="28"/>
                <w:szCs w:val="28"/>
              </w:rPr>
            </w:pPr>
            <w:r w:rsidRPr="003656ED">
              <w:rPr>
                <w:b/>
                <w:bCs/>
                <w:sz w:val="28"/>
                <w:szCs w:val="28"/>
                <w:lang w:eastAsia="en-US"/>
              </w:rPr>
              <w:t>Документ</w:t>
            </w:r>
            <w:r w:rsidRPr="003656ED">
              <w:rPr>
                <w:b/>
                <w:bCs/>
                <w:sz w:val="28"/>
                <w:szCs w:val="28"/>
                <w:lang w:eastAsia="en-US"/>
              </w:rPr>
              <w:t>ы</w:t>
            </w:r>
            <w:r w:rsidRPr="003656ED">
              <w:rPr>
                <w:b/>
                <w:bCs/>
                <w:sz w:val="28"/>
                <w:szCs w:val="28"/>
                <w:lang w:eastAsia="en-US"/>
              </w:rPr>
              <w:t>:</w:t>
            </w:r>
            <w:r w:rsidRPr="003656ED">
              <w:rPr>
                <w:rFonts w:ascii="Arial" w:hAnsi="Arial" w:cs="Arial"/>
                <w:b/>
                <w:bCs/>
                <w:color w:val="666666"/>
                <w:sz w:val="28"/>
                <w:szCs w:val="28"/>
              </w:rPr>
              <w:br/>
            </w:r>
          </w:p>
          <w:p w14:paraId="7B80FA9A" w14:textId="77777777" w:rsidR="003656ED" w:rsidRPr="003656ED" w:rsidRDefault="003656ED" w:rsidP="00D3229A">
            <w:pPr>
              <w:rPr>
                <w:color w:val="auto"/>
                <w:sz w:val="28"/>
                <w:szCs w:val="28"/>
              </w:rPr>
            </w:pPr>
          </w:p>
          <w:p w14:paraId="40A09BB6" w14:textId="2F5F710E" w:rsidR="003656ED" w:rsidRPr="003656ED" w:rsidRDefault="003656ED" w:rsidP="00D3229A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C826956" w14:textId="13D5254C" w:rsidR="00D3229A" w:rsidRDefault="00D3229A" w:rsidP="00D3229A">
            <w:pPr>
              <w:pStyle w:val="attachmentsitem"/>
              <w:spacing w:before="0" w:after="0"/>
              <w:textAlignment w:val="baseline"/>
              <w:rPr>
                <w:sz w:val="26"/>
                <w:szCs w:val="26"/>
              </w:rPr>
            </w:pPr>
            <w:hyperlink r:id="rId46" w:history="1">
              <w:r>
                <w:rPr>
                  <w:rStyle w:val="a3"/>
                  <w:color w:val="1A0DAB"/>
                  <w:sz w:val="26"/>
                  <w:szCs w:val="26"/>
                  <w:bdr w:val="none" w:sz="0" w:space="0" w:color="auto" w:frame="1"/>
                </w:rPr>
                <w:t>Постановление Правительства РФ от 01.07.2021 N 1110</w:t>
              </w:r>
            </w:hyperlink>
          </w:p>
          <w:p w14:paraId="620FE860" w14:textId="12823FFB" w:rsidR="00D3229A" w:rsidRDefault="00D3229A" w:rsidP="00D3229A">
            <w:pPr>
              <w:pStyle w:val="attachmentsitem"/>
              <w:spacing w:before="0" w:after="0"/>
              <w:textAlignment w:val="baseline"/>
              <w:rPr>
                <w:sz w:val="26"/>
                <w:szCs w:val="26"/>
              </w:rPr>
            </w:pPr>
            <w:hyperlink r:id="rId47" w:history="1">
              <w:r>
                <w:rPr>
                  <w:rStyle w:val="a3"/>
                  <w:color w:val="1A0DAB"/>
                  <w:sz w:val="26"/>
                  <w:szCs w:val="26"/>
                  <w:bdr w:val="none" w:sz="0" w:space="0" w:color="auto" w:frame="1"/>
                </w:rPr>
                <w:t>Постановление Правительства РФ от 01.07.2021 N 1108</w:t>
              </w:r>
            </w:hyperlink>
          </w:p>
        </w:tc>
      </w:tr>
    </w:tbl>
    <w:p w14:paraId="22737F34" w14:textId="4D987B87" w:rsidR="00976636" w:rsidRPr="005B2081" w:rsidRDefault="00D3229A" w:rsidP="00D3229A">
      <w:pPr>
        <w:shd w:val="clear" w:color="auto" w:fill="auto"/>
        <w:autoSpaceDE w:val="0"/>
        <w:autoSpaceDN w:val="0"/>
        <w:adjustRightInd w:val="0"/>
        <w:textAlignment w:val="auto"/>
        <w:rPr>
          <w:rStyle w:val="a3"/>
          <w:color w:val="000000"/>
          <w:u w:val="none"/>
        </w:rPr>
      </w:pPr>
      <w:r>
        <w:rPr>
          <w:rFonts w:ascii="Arial" w:hAnsi="Arial" w:cs="Arial"/>
          <w:color w:val="666666"/>
          <w:sz w:val="23"/>
          <w:szCs w:val="23"/>
        </w:rPr>
        <w:br/>
      </w:r>
    </w:p>
    <w:sectPr w:rsidR="00976636" w:rsidRPr="005B2081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23C"/>
    <w:multiLevelType w:val="multilevel"/>
    <w:tmpl w:val="68B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F7842"/>
    <w:multiLevelType w:val="multilevel"/>
    <w:tmpl w:val="908E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A3706"/>
    <w:multiLevelType w:val="multilevel"/>
    <w:tmpl w:val="317C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821AB"/>
    <w:multiLevelType w:val="multilevel"/>
    <w:tmpl w:val="A03A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20647"/>
    <w:multiLevelType w:val="multilevel"/>
    <w:tmpl w:val="E1A4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9D2"/>
    <w:rsid w:val="000A4A4D"/>
    <w:rsid w:val="00155CE5"/>
    <w:rsid w:val="00190853"/>
    <w:rsid w:val="001B58F9"/>
    <w:rsid w:val="001E2F82"/>
    <w:rsid w:val="001E5AA0"/>
    <w:rsid w:val="001F73D0"/>
    <w:rsid w:val="00221113"/>
    <w:rsid w:val="00267DE3"/>
    <w:rsid w:val="002B6460"/>
    <w:rsid w:val="002C5337"/>
    <w:rsid w:val="0030601F"/>
    <w:rsid w:val="0031353D"/>
    <w:rsid w:val="00336D46"/>
    <w:rsid w:val="003656ED"/>
    <w:rsid w:val="003B2738"/>
    <w:rsid w:val="00406049"/>
    <w:rsid w:val="004309BD"/>
    <w:rsid w:val="004A7FD3"/>
    <w:rsid w:val="004E78FB"/>
    <w:rsid w:val="0051337A"/>
    <w:rsid w:val="005221B8"/>
    <w:rsid w:val="005405EC"/>
    <w:rsid w:val="00586118"/>
    <w:rsid w:val="005B2081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663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B4EE1"/>
    <w:rsid w:val="00CC7452"/>
    <w:rsid w:val="00CE6684"/>
    <w:rsid w:val="00D3229A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77/service/traceability/" TargetMode="External"/><Relationship Id="rId18" Type="http://schemas.openxmlformats.org/officeDocument/2006/relationships/hyperlink" Target="https://login.consultant.ru/link/?req=doc&amp;base=LAW&amp;n=389974&amp;dst=100032" TargetMode="External"/><Relationship Id="rId26" Type="http://schemas.openxmlformats.org/officeDocument/2006/relationships/hyperlink" Target="https://login.consultant.ru/link/?req=doc&amp;base=LAW&amp;n=390274&amp;dst=100009" TargetMode="External"/><Relationship Id="rId39" Type="http://schemas.openxmlformats.org/officeDocument/2006/relationships/hyperlink" Target="https://login.consultant.ru/link/?req=doc&amp;base=LAW&amp;n=389974&amp;dst=100149" TargetMode="External"/><Relationship Id="rId21" Type="http://schemas.openxmlformats.org/officeDocument/2006/relationships/hyperlink" Target="https://login.consultant.ru/link/?req=doc&amp;base=LAW&amp;n=389974&amp;dst=100038" TargetMode="External"/><Relationship Id="rId34" Type="http://schemas.openxmlformats.org/officeDocument/2006/relationships/hyperlink" Target="https://login.consultant.ru/link/?req=doc&amp;base=LAW&amp;n=389974&amp;dst=100180" TargetMode="External"/><Relationship Id="rId42" Type="http://schemas.openxmlformats.org/officeDocument/2006/relationships/hyperlink" Target="https://login.consultant.ru/link/?req=doc&amp;base=LAW&amp;n=389211&amp;dst=20232" TargetMode="External"/><Relationship Id="rId47" Type="http://schemas.openxmlformats.org/officeDocument/2006/relationships/hyperlink" Target="https://login.consultant.ru/link/?req=doc&amp;base=LAW&amp;n=389974&amp;dst=100001" TargetMode="External"/><Relationship Id="rId7" Type="http://schemas.openxmlformats.org/officeDocument/2006/relationships/hyperlink" Target="https://login.consultant.ru/link/?req=doc&amp;base=LAW&amp;n=389974&amp;dst=1000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2185&amp;dst=100130" TargetMode="External"/><Relationship Id="rId29" Type="http://schemas.openxmlformats.org/officeDocument/2006/relationships/hyperlink" Target="https://login.consultant.ru/link/?req=doc&amp;base=LAW&amp;n=389974&amp;dst=100182" TargetMode="External"/><Relationship Id="rId11" Type="http://schemas.openxmlformats.org/officeDocument/2006/relationships/hyperlink" Target="https://login.consultant.ru/link/?req=doc&amp;base=LAW&amp;n=389974&amp;dst=100063" TargetMode="External"/><Relationship Id="rId24" Type="http://schemas.openxmlformats.org/officeDocument/2006/relationships/hyperlink" Target="https://login.consultant.ru/link/?req=doc&amp;base=LAW&amp;n=389974&amp;dst=100166" TargetMode="External"/><Relationship Id="rId32" Type="http://schemas.openxmlformats.org/officeDocument/2006/relationships/hyperlink" Target="https://login.consultant.ru/link/?req=doc&amp;base=LAW&amp;n=389974&amp;dst=100073" TargetMode="External"/><Relationship Id="rId37" Type="http://schemas.openxmlformats.org/officeDocument/2006/relationships/hyperlink" Target="https://login.consultant.ru/link/?req=doc&amp;base=LAW&amp;n=389974&amp;dst=100158" TargetMode="External"/><Relationship Id="rId40" Type="http://schemas.openxmlformats.org/officeDocument/2006/relationships/hyperlink" Target="https://login.consultant.ru/link/?req=doc&amp;base=LAW&amp;n=389211&amp;dst=20228" TargetMode="External"/><Relationship Id="rId45" Type="http://schemas.openxmlformats.org/officeDocument/2006/relationships/hyperlink" Target="https://login.consultant.ru/link/?req=doc&amp;base=LAW&amp;n=389185&amp;dst=100011" TargetMode="External"/><Relationship Id="rId5" Type="http://schemas.openxmlformats.org/officeDocument/2006/relationships/hyperlink" Target="https://login.consultant.ru/link/?req=doc&amp;base=LAW&amp;n=389974&amp;dst=100057" TargetMode="External"/><Relationship Id="rId15" Type="http://schemas.openxmlformats.org/officeDocument/2006/relationships/hyperlink" Target="https://login.consultant.ru/link/?req=doc&amp;base=LAW&amp;n=389974&amp;dst=100048" TargetMode="External"/><Relationship Id="rId23" Type="http://schemas.openxmlformats.org/officeDocument/2006/relationships/hyperlink" Target="https://login.consultant.ru/link/?req=doc&amp;base=LAW&amp;n=389974&amp;dst=100041" TargetMode="External"/><Relationship Id="rId28" Type="http://schemas.openxmlformats.org/officeDocument/2006/relationships/hyperlink" Target="https://login.consultant.ru/link/?req=doc&amp;base=LAW&amp;n=389974&amp;dst=100164" TargetMode="External"/><Relationship Id="rId36" Type="http://schemas.openxmlformats.org/officeDocument/2006/relationships/hyperlink" Target="https://login.consultant.ru/link/?req=doc&amp;base=LAW&amp;n=389974&amp;dst=100155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6B0B28A8A9BF72DD96FC6B6F8040436F5C7946D238EB0D70A7C426DBE1B8AE6507807189EF7DF4C8507955CED556ABFDE4CF2D7098EEA2Bw4v2J" TargetMode="External"/><Relationship Id="rId19" Type="http://schemas.openxmlformats.org/officeDocument/2006/relationships/hyperlink" Target="https://login.consultant.ru/link/?req=doc&amp;base=LAW&amp;n=389974&amp;dst=100034" TargetMode="External"/><Relationship Id="rId31" Type="http://schemas.openxmlformats.org/officeDocument/2006/relationships/hyperlink" Target="https://login.consultant.ru/link/?req=doc&amp;base=LAW&amp;n=389974&amp;dst=100065" TargetMode="External"/><Relationship Id="rId44" Type="http://schemas.openxmlformats.org/officeDocument/2006/relationships/hyperlink" Target="https://login.consultant.ru/link/?req=doc&amp;base=LAW&amp;n=389185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491&amp;dst=100019" TargetMode="External"/><Relationship Id="rId14" Type="http://schemas.openxmlformats.org/officeDocument/2006/relationships/hyperlink" Target="https://login.consultant.ru/link/?req=doc&amp;base=LAW&amp;n=389974&amp;dst=100045" TargetMode="External"/><Relationship Id="rId22" Type="http://schemas.openxmlformats.org/officeDocument/2006/relationships/hyperlink" Target="https://login.consultant.ru/link/?req=doc&amp;base=LAW&amp;n=389974&amp;dst=100039" TargetMode="External"/><Relationship Id="rId27" Type="http://schemas.openxmlformats.org/officeDocument/2006/relationships/hyperlink" Target="https://login.consultant.ru/link/?req=doc&amp;base=LAW&amp;n=390274&amp;dst=100009" TargetMode="External"/><Relationship Id="rId30" Type="http://schemas.openxmlformats.org/officeDocument/2006/relationships/hyperlink" Target="https://login.consultant.ru/link/?req=doc&amp;base=PAP&amp;n=42308&amp;dst=100003" TargetMode="External"/><Relationship Id="rId35" Type="http://schemas.openxmlformats.org/officeDocument/2006/relationships/hyperlink" Target="https://login.consultant.ru/link/?req=doc&amp;base=PAP&amp;n=28764&amp;dst=100003" TargetMode="External"/><Relationship Id="rId43" Type="http://schemas.openxmlformats.org/officeDocument/2006/relationships/hyperlink" Target="https://login.consultant.ru/link/?req=doc&amp;base=LAW&amp;n=389211&amp;dst=2023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389491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alog.gov.ru/rn77/service/traceability/" TargetMode="External"/><Relationship Id="rId17" Type="http://schemas.openxmlformats.org/officeDocument/2006/relationships/hyperlink" Target="https://login.consultant.ru/link/?req=doc&amp;base=LAW&amp;n=389974&amp;dst=100164" TargetMode="External"/><Relationship Id="rId25" Type="http://schemas.openxmlformats.org/officeDocument/2006/relationships/hyperlink" Target="https://login.consultant.ru/link/?req=doc&amp;base=LAW&amp;n=389974&amp;dst=100175" TargetMode="External"/><Relationship Id="rId33" Type="http://schemas.openxmlformats.org/officeDocument/2006/relationships/hyperlink" Target="https://login.consultant.ru/link/?req=doc&amp;base=LAW&amp;n=389974&amp;dst=100183" TargetMode="External"/><Relationship Id="rId38" Type="http://schemas.openxmlformats.org/officeDocument/2006/relationships/hyperlink" Target="https://login.consultant.ru/link/?req=doc&amp;base=PAP&amp;n=28764&amp;dst=100003" TargetMode="External"/><Relationship Id="rId46" Type="http://schemas.openxmlformats.org/officeDocument/2006/relationships/hyperlink" Target="https://login.consultant.ru/link/?req=doc&amp;base=LAW&amp;n=389976&amp;dst=100009" TargetMode="External"/><Relationship Id="rId20" Type="http://schemas.openxmlformats.org/officeDocument/2006/relationships/hyperlink" Target="https://login.consultant.ru/link/?req=doc&amp;base=LAW&amp;n=389974&amp;dst=100036" TargetMode="External"/><Relationship Id="rId41" Type="http://schemas.openxmlformats.org/officeDocument/2006/relationships/hyperlink" Target="https://login.consultant.ru/link/?req=doc&amp;base=LAW&amp;n=389974&amp;dst=1001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997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2</cp:revision>
  <dcterms:created xsi:type="dcterms:W3CDTF">2021-07-20T10:22:00Z</dcterms:created>
  <dcterms:modified xsi:type="dcterms:W3CDTF">2021-07-20T10:22:00Z</dcterms:modified>
</cp:coreProperties>
</file>